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9FF89" w14:textId="77777777" w:rsidR="002E587A" w:rsidRDefault="002E587A" w:rsidP="002E587A">
      <w:pPr>
        <w:pStyle w:val="CRCoverPage"/>
        <w:tabs>
          <w:tab w:val="right" w:pos="8640"/>
        </w:tabs>
        <w:spacing w:after="0"/>
        <w:ind w:right="1260"/>
        <w:rPr>
          <w:b/>
          <w:noProof/>
          <w:sz w:val="24"/>
        </w:rPr>
      </w:pPr>
    </w:p>
    <w:p w14:paraId="01998F9D" w14:textId="77777777" w:rsidR="00B3612A" w:rsidRPr="00383F56" w:rsidRDefault="00B3612A" w:rsidP="00B3612A">
      <w:pPr>
        <w:widowControl w:val="0"/>
        <w:tabs>
          <w:tab w:val="right" w:pos="9639"/>
        </w:tabs>
        <w:spacing w:after="0"/>
        <w:jc w:val="both"/>
        <w:rPr>
          <w:rFonts w:ascii="Arial" w:eastAsia="Times New Roman" w:hAnsi="Arial"/>
          <w:b/>
          <w:bCs/>
          <w:i/>
          <w:sz w:val="24"/>
          <w:szCs w:val="24"/>
        </w:rPr>
      </w:pPr>
      <w:r w:rsidRPr="002E5541">
        <w:rPr>
          <w:rFonts w:ascii="Arial" w:eastAsia="Times New Roman" w:hAnsi="Arial"/>
          <w:b/>
          <w:bCs/>
          <w:sz w:val="24"/>
          <w:szCs w:val="24"/>
        </w:rPr>
        <w:t>3GPP TSG-RAN WG3 #107-e</w:t>
      </w:r>
      <w:r w:rsidRPr="00383F56">
        <w:rPr>
          <w:rFonts w:ascii="Arial" w:eastAsia="Times New Roman" w:hAnsi="Arial"/>
          <w:b/>
          <w:bCs/>
          <w:sz w:val="24"/>
          <w:szCs w:val="24"/>
        </w:rPr>
        <w:tab/>
      </w:r>
      <w:r>
        <w:rPr>
          <w:rFonts w:ascii="Arial" w:eastAsia="Times New Roman" w:hAnsi="Arial"/>
          <w:b/>
          <w:bCs/>
          <w:sz w:val="24"/>
          <w:szCs w:val="24"/>
        </w:rPr>
        <w:t>R3-200410</w:t>
      </w:r>
    </w:p>
    <w:p w14:paraId="7B272617" w14:textId="77777777" w:rsidR="00B3612A" w:rsidRDefault="00B3612A" w:rsidP="00B3612A">
      <w:pPr>
        <w:widowControl w:val="0"/>
        <w:tabs>
          <w:tab w:val="right" w:pos="9639"/>
        </w:tabs>
        <w:spacing w:after="0"/>
        <w:jc w:val="both"/>
        <w:rPr>
          <w:rFonts w:ascii="Arial" w:hAnsi="Arial"/>
          <w:b/>
          <w:sz w:val="24"/>
          <w:szCs w:val="24"/>
          <w:lang w:eastAsia="zh-CN"/>
        </w:rPr>
      </w:pPr>
      <w:r w:rsidRPr="002E5541">
        <w:rPr>
          <w:rFonts w:ascii="Arial" w:hAnsi="Arial"/>
          <w:b/>
          <w:sz w:val="24"/>
          <w:szCs w:val="24"/>
          <w:lang w:eastAsia="zh-CN"/>
        </w:rPr>
        <w:t>24 February-6 March 2020 E-Meeting</w:t>
      </w:r>
    </w:p>
    <w:p w14:paraId="494143C6" w14:textId="02B5D6D7" w:rsidR="002E587A" w:rsidRDefault="002E587A" w:rsidP="002E587A">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                             </w:t>
      </w:r>
      <w:r>
        <w:rPr>
          <w:rFonts w:ascii="Arial" w:hAnsi="Arial"/>
          <w:b/>
          <w:sz w:val="24"/>
          <w:szCs w:val="24"/>
          <w:lang w:eastAsia="zh-CN"/>
        </w:rPr>
        <w:tab/>
      </w:r>
    </w:p>
    <w:p w14:paraId="67D1DD5E" w14:textId="77777777" w:rsidR="002E587A" w:rsidRPr="006D3016" w:rsidRDefault="002E587A" w:rsidP="002E587A">
      <w:pPr>
        <w:widowControl w:val="0"/>
        <w:spacing w:after="0"/>
        <w:rPr>
          <w:rFonts w:ascii="Arial" w:eastAsia="Times New Roman" w:hAnsi="Arial"/>
          <w:b/>
          <w:bCs/>
          <w:sz w:val="24"/>
        </w:rPr>
      </w:pPr>
    </w:p>
    <w:p w14:paraId="79264233" w14:textId="75CF786F" w:rsidR="002E587A" w:rsidRPr="006D3016" w:rsidRDefault="002E587A" w:rsidP="002E58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77B73">
        <w:rPr>
          <w:rFonts w:ascii="Arial" w:eastAsia="MS Mincho" w:hAnsi="Arial" w:cs="Arial"/>
          <w:b/>
          <w:bCs/>
          <w:sz w:val="24"/>
        </w:rPr>
        <w:t>15.2.</w:t>
      </w:r>
      <w:r w:rsidR="001B6BFC">
        <w:rPr>
          <w:rFonts w:ascii="Arial" w:eastAsia="MS Mincho" w:hAnsi="Arial" w:cs="Arial"/>
          <w:b/>
          <w:bCs/>
          <w:sz w:val="24"/>
        </w:rPr>
        <w:t>3</w:t>
      </w:r>
    </w:p>
    <w:p w14:paraId="4BC6A3AD" w14:textId="77777777" w:rsidR="002E587A" w:rsidRDefault="002E587A" w:rsidP="002E58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81F526" w14:textId="7BD957C4"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Title:</w:t>
      </w:r>
      <w:r>
        <w:rPr>
          <w:rFonts w:ascii="Arial" w:eastAsia="Times New Roman" w:hAnsi="Arial" w:cs="Arial"/>
          <w:b/>
          <w:bCs/>
          <w:sz w:val="24"/>
        </w:rPr>
        <w:tab/>
      </w:r>
      <w:r w:rsidR="001B6BFC">
        <w:rPr>
          <w:rFonts w:ascii="Arial" w:eastAsia="Times New Roman" w:hAnsi="Arial" w:cs="Arial"/>
          <w:b/>
          <w:bCs/>
          <w:sz w:val="24"/>
        </w:rPr>
        <w:t>P</w:t>
      </w:r>
      <w:r>
        <w:rPr>
          <w:rFonts w:ascii="Arial" w:eastAsia="Times New Roman" w:hAnsi="Arial" w:cs="Arial"/>
          <w:b/>
          <w:bCs/>
          <w:sz w:val="24"/>
        </w:rPr>
        <w:t xml:space="preserve">er DRB </w:t>
      </w:r>
      <w:r w:rsidR="001B6BFC">
        <w:rPr>
          <w:rFonts w:ascii="Arial" w:eastAsia="Times New Roman" w:hAnsi="Arial" w:cs="Arial"/>
          <w:b/>
          <w:bCs/>
          <w:sz w:val="24"/>
        </w:rPr>
        <w:t>DAPS</w:t>
      </w:r>
      <w:r w:rsidR="00C25233">
        <w:rPr>
          <w:rFonts w:ascii="Arial" w:eastAsia="Times New Roman" w:hAnsi="Arial" w:cs="Arial"/>
          <w:b/>
          <w:bCs/>
          <w:sz w:val="24"/>
        </w:rPr>
        <w:t xml:space="preserve"> HO</w:t>
      </w:r>
      <w:r>
        <w:rPr>
          <w:rFonts w:ascii="Arial" w:eastAsia="Times New Roman" w:hAnsi="Arial" w:cs="Arial"/>
          <w:b/>
          <w:bCs/>
          <w:sz w:val="24"/>
        </w:rPr>
        <w:t xml:space="preserve"> </w:t>
      </w:r>
    </w:p>
    <w:p w14:paraId="7AA66959" w14:textId="798ABC9E" w:rsidR="002E587A"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C26478" w:rsidRPr="00C26478">
        <w:rPr>
          <w:rFonts w:ascii="Arial" w:eastAsia="Times New Roman" w:hAnsi="Arial" w:cs="Arial"/>
          <w:b/>
          <w:bCs/>
          <w:sz w:val="24"/>
        </w:rPr>
        <w:t>NR_Mob_enh</w:t>
      </w:r>
      <w:proofErr w:type="spellEnd"/>
      <w:r w:rsidR="00C26478" w:rsidRPr="00C26478">
        <w:rPr>
          <w:rFonts w:ascii="Arial" w:eastAsia="Times New Roman" w:hAnsi="Arial" w:cs="Arial"/>
          <w:b/>
          <w:bCs/>
          <w:sz w:val="24"/>
        </w:rPr>
        <w:t>-Core</w:t>
      </w:r>
    </w:p>
    <w:p w14:paraId="5D248486" w14:textId="089017E6"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4D5018">
        <w:rPr>
          <w:rFonts w:ascii="Arial" w:eastAsia="Times New Roman" w:hAnsi="Arial" w:cs="Arial"/>
          <w:b/>
          <w:bCs/>
          <w:sz w:val="24"/>
        </w:rPr>
        <w:t>Approval</w:t>
      </w:r>
      <w:r w:rsidRPr="006D3016">
        <w:rPr>
          <w:rFonts w:ascii="Arial" w:eastAsia="Times New Roman" w:hAnsi="Arial" w:cs="Arial"/>
          <w:b/>
          <w:bCs/>
          <w:sz w:val="24"/>
        </w:rPr>
        <w:t xml:space="preserve"> </w:t>
      </w:r>
    </w:p>
    <w:p w14:paraId="5CFCF8FF" w14:textId="5CD57E82" w:rsidR="002E587A" w:rsidRDefault="002E587A" w:rsidP="002E587A">
      <w:pPr>
        <w:pStyle w:val="Heading1"/>
        <w:numPr>
          <w:ilvl w:val="0"/>
          <w:numId w:val="1"/>
        </w:numPr>
        <w:pBdr>
          <w:top w:val="single" w:sz="12" w:space="2" w:color="auto"/>
        </w:pBdr>
      </w:pPr>
      <w:r>
        <w:t xml:space="preserve">Introduction </w:t>
      </w:r>
    </w:p>
    <w:p w14:paraId="056329D5" w14:textId="656DB60C" w:rsidR="002E587A" w:rsidRDefault="001B6BFC" w:rsidP="002E587A">
      <w:r>
        <w:t>RAN2 has agreed to support DAPS HO per DRB</w:t>
      </w:r>
      <w:r w:rsidR="002E587A">
        <w:t>.</w:t>
      </w:r>
      <w:r>
        <w:t xml:space="preserve"> This paper analyses the RAN3 impact.</w:t>
      </w:r>
      <w:r w:rsidR="009F4DAB">
        <w:t xml:space="preserve"> </w:t>
      </w:r>
    </w:p>
    <w:p w14:paraId="3CEDC83F" w14:textId="3BB2FF0A" w:rsidR="000A3831" w:rsidRDefault="000A3831" w:rsidP="002E587A">
      <w:r>
        <w:t>RAN</w:t>
      </w:r>
      <w:r w:rsidR="00B3612A">
        <w:t>2</w:t>
      </w:r>
      <w:r>
        <w:t xml:space="preserve"> #107bis agreements:</w:t>
      </w:r>
    </w:p>
    <w:p w14:paraId="1E93FD70" w14:textId="77777777" w:rsidR="000A3831" w:rsidRPr="00C61C0F" w:rsidRDefault="000A3831" w:rsidP="000A3831">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2E6E6B4F" w14:textId="77777777" w:rsidR="000A3831" w:rsidRDefault="000A3831" w:rsidP="000A3831">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7BD66205" w14:textId="0015E65E" w:rsidR="000A3831" w:rsidRPr="00B3612A" w:rsidRDefault="00B3612A" w:rsidP="002E587A">
      <w:pPr>
        <w:rPr>
          <w:lang w:val="en-US"/>
        </w:rPr>
      </w:pPr>
      <w:r>
        <w:rPr>
          <w:lang w:val="en-US"/>
        </w:rPr>
        <w:t>RAN2 #108 has follow agreements:</w:t>
      </w:r>
    </w:p>
    <w:p w14:paraId="1EAC6002" w14:textId="77777777" w:rsidR="00B3612A" w:rsidRPr="00412D14" w:rsidRDefault="00B3612A" w:rsidP="00B3612A">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55EBF1BC" w14:textId="77777777" w:rsidR="00B3612A" w:rsidRDefault="00B3612A" w:rsidP="00B3612A">
      <w:pPr>
        <w:pStyle w:val="Doc-text2"/>
        <w:pBdr>
          <w:top w:val="single" w:sz="4" w:space="1" w:color="auto"/>
          <w:left w:val="single" w:sz="4" w:space="4" w:color="auto"/>
          <w:bottom w:val="single" w:sz="4" w:space="1" w:color="auto"/>
          <w:right w:val="single" w:sz="4" w:space="4" w:color="auto"/>
        </w:pBdr>
      </w:pPr>
    </w:p>
    <w:p w14:paraId="57A59E4D" w14:textId="77777777" w:rsidR="00B3612A" w:rsidRDefault="00B3612A" w:rsidP="00B3612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Confirm working assumption on per-DRB DAPS.</w:t>
      </w:r>
    </w:p>
    <w:p w14:paraId="07B6C41F" w14:textId="77777777" w:rsidR="00B3612A" w:rsidRDefault="00B3612A" w:rsidP="00B3612A">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098E8C11" w14:textId="77777777" w:rsidR="00B3612A" w:rsidRDefault="00B3612A" w:rsidP="00B3612A">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3CA0217F" w14:textId="77777777" w:rsidR="00B3612A" w:rsidRDefault="00B3612A" w:rsidP="00B3612A">
      <w:pPr>
        <w:pStyle w:val="Doc-text2"/>
        <w:pBdr>
          <w:top w:val="single" w:sz="4" w:space="1" w:color="auto"/>
          <w:left w:val="single" w:sz="4" w:space="4" w:color="auto"/>
          <w:bottom w:val="single" w:sz="4" w:space="1" w:color="auto"/>
          <w:right w:val="single" w:sz="4" w:space="4" w:color="auto"/>
        </w:pBdr>
      </w:pPr>
    </w:p>
    <w:p w14:paraId="54997863" w14:textId="77777777" w:rsidR="00B3612A" w:rsidRPr="000A3831" w:rsidRDefault="00B3612A" w:rsidP="002E587A">
      <w:pPr>
        <w:rPr>
          <w:lang w:val="x-none"/>
        </w:rPr>
      </w:pPr>
    </w:p>
    <w:p w14:paraId="2347B5C7" w14:textId="77777777" w:rsidR="002E587A" w:rsidRDefault="002E587A" w:rsidP="002E587A">
      <w:pPr>
        <w:pStyle w:val="Heading1"/>
        <w:numPr>
          <w:ilvl w:val="0"/>
          <w:numId w:val="1"/>
        </w:numPr>
        <w:pBdr>
          <w:top w:val="single" w:sz="12" w:space="2" w:color="auto"/>
        </w:pBdr>
      </w:pPr>
      <w:r>
        <w:t>Discussion</w:t>
      </w:r>
    </w:p>
    <w:p w14:paraId="0DD37E34" w14:textId="42A4EFE7" w:rsidR="009F4DAB" w:rsidRDefault="00C26478" w:rsidP="001641F2">
      <w:pPr>
        <w:overflowPunct w:val="0"/>
        <w:autoSpaceDE w:val="0"/>
        <w:autoSpaceDN w:val="0"/>
        <w:adjustRightInd w:val="0"/>
        <w:textAlignment w:val="baseline"/>
        <w:rPr>
          <w:lang w:eastAsia="ja-JP"/>
        </w:rPr>
      </w:pPr>
      <w:r>
        <w:t>RAN2/RAN3 has agreed to support DAPS HO (</w:t>
      </w:r>
      <w:r w:rsidR="006F300C">
        <w:t xml:space="preserve">Dual active protocol stack </w:t>
      </w:r>
      <w:r>
        <w:t xml:space="preserve">handover). DSPA </w:t>
      </w:r>
      <w:r w:rsidR="006F300C">
        <w:t>refers to the</w:t>
      </w:r>
      <w:r w:rsidR="006F300C">
        <w:rPr>
          <w:lang w:val="en-US"/>
        </w:rPr>
        <w:t xml:space="preserve"> AS stack design where the </w:t>
      </w:r>
      <w:r w:rsidR="006F300C" w:rsidRPr="006F300C">
        <w:rPr>
          <w:lang w:val="en-US"/>
        </w:rPr>
        <w:t xml:space="preserve">UE </w:t>
      </w:r>
      <w:r w:rsidR="006F300C">
        <w:rPr>
          <w:lang w:eastAsia="ja-JP"/>
        </w:rPr>
        <w:t xml:space="preserve">maintains </w:t>
      </w:r>
      <w:r w:rsidR="00B754DF">
        <w:rPr>
          <w:lang w:eastAsia="ja-JP"/>
        </w:rPr>
        <w:t>separate</w:t>
      </w:r>
      <w:r w:rsidR="006F300C">
        <w:rPr>
          <w:lang w:eastAsia="ja-JP"/>
        </w:rPr>
        <w:t xml:space="preserve"> PHY/MAC/RLC entities </w:t>
      </w:r>
      <w:r w:rsidR="00B754DF">
        <w:rPr>
          <w:lang w:eastAsia="ja-JP"/>
        </w:rPr>
        <w:t xml:space="preserve">for source connection </w:t>
      </w:r>
      <w:r w:rsidR="001641F2">
        <w:rPr>
          <w:lang w:eastAsia="ja-JP"/>
        </w:rPr>
        <w:t xml:space="preserve">DRBs </w:t>
      </w:r>
      <w:r w:rsidR="00B754DF">
        <w:rPr>
          <w:lang w:eastAsia="ja-JP"/>
        </w:rPr>
        <w:t xml:space="preserve">and target connection </w:t>
      </w:r>
      <w:r w:rsidR="001641F2">
        <w:rPr>
          <w:lang w:eastAsia="ja-JP"/>
        </w:rPr>
        <w:t xml:space="preserve">DRBs </w:t>
      </w:r>
      <w:r w:rsidR="00B754DF">
        <w:rPr>
          <w:lang w:eastAsia="ja-JP"/>
        </w:rPr>
        <w:t xml:space="preserve">with a common PDCP entity </w:t>
      </w:r>
      <w:r w:rsidR="009F4DAB">
        <w:rPr>
          <w:lang w:eastAsia="ja-JP"/>
        </w:rPr>
        <w:t>handling both DRBs</w:t>
      </w:r>
      <w:r w:rsidR="00BE1772">
        <w:rPr>
          <w:lang w:eastAsia="ja-JP"/>
        </w:rPr>
        <w:t>, as discussed in [2]</w:t>
      </w:r>
      <w:r w:rsidR="00F643CB">
        <w:rPr>
          <w:lang w:eastAsia="ja-JP"/>
        </w:rPr>
        <w:t xml:space="preserve"> and described below</w:t>
      </w:r>
      <w:r w:rsidR="00B754DF">
        <w:rPr>
          <w:lang w:eastAsia="ja-JP"/>
        </w:rPr>
        <w:t xml:space="preserve">. </w:t>
      </w:r>
    </w:p>
    <w:p w14:paraId="6EE58DB0" w14:textId="06E7CA3E" w:rsidR="009F4DAB" w:rsidRDefault="00F643CB" w:rsidP="001641F2">
      <w:pPr>
        <w:overflowPunct w:val="0"/>
        <w:autoSpaceDE w:val="0"/>
        <w:autoSpaceDN w:val="0"/>
        <w:adjustRightInd w:val="0"/>
        <w:textAlignment w:val="baseline"/>
      </w:pPr>
      <w:r>
        <w:rPr>
          <w:lang w:eastAsia="ja-JP"/>
        </w:rPr>
        <w:t>T</w:t>
      </w:r>
      <w:r w:rsidR="00B754DF">
        <w:rPr>
          <w:lang w:eastAsia="ja-JP"/>
        </w:rPr>
        <w:t xml:space="preserve">he common PDCP entity can receive </w:t>
      </w:r>
      <w:r w:rsidR="009F4DAB">
        <w:rPr>
          <w:lang w:eastAsia="ja-JP"/>
        </w:rPr>
        <w:t xml:space="preserve">DL </w:t>
      </w:r>
      <w:r w:rsidR="001641F2">
        <w:rPr>
          <w:lang w:eastAsia="ja-JP"/>
        </w:rPr>
        <w:t xml:space="preserve">data from both the source connection and target connection </w:t>
      </w:r>
      <w:r w:rsidR="001641F2">
        <w:t xml:space="preserve">during </w:t>
      </w:r>
      <w:r w:rsidR="00C26478">
        <w:t>DAPS</w:t>
      </w:r>
      <w:r w:rsidR="00C25233">
        <w:t xml:space="preserve"> HO</w:t>
      </w:r>
      <w:r w:rsidR="001641F2" w:rsidRPr="00E25F90">
        <w:t xml:space="preserve">. This could happen if the source </w:t>
      </w:r>
      <w:r w:rsidR="001641F2">
        <w:t>cell</w:t>
      </w:r>
      <w:r w:rsidR="001641F2" w:rsidRPr="00E25F90">
        <w:t xml:space="preserve"> retransmits the PDUs not </w:t>
      </w:r>
      <w:proofErr w:type="spellStart"/>
      <w:r w:rsidR="001641F2" w:rsidRPr="00E25F90">
        <w:t>Acked</w:t>
      </w:r>
      <w:proofErr w:type="spellEnd"/>
      <w:r w:rsidR="001641F2" w:rsidRPr="00E25F90">
        <w:t xml:space="preserve"> by RLC or duplicates the PDCP PDUs sent </w:t>
      </w:r>
      <w:r w:rsidR="001641F2">
        <w:t>to the</w:t>
      </w:r>
      <w:r w:rsidR="001641F2" w:rsidRPr="00E25F90">
        <w:t xml:space="preserve"> target </w:t>
      </w:r>
      <w:proofErr w:type="spellStart"/>
      <w:r w:rsidR="001641F2" w:rsidRPr="00E25F90">
        <w:t>gNB</w:t>
      </w:r>
      <w:proofErr w:type="spellEnd"/>
      <w:r w:rsidR="001641F2">
        <w:t xml:space="preserve"> to reduce delays</w:t>
      </w:r>
      <w:r w:rsidR="001641F2" w:rsidRPr="00E25F90">
        <w:t>.</w:t>
      </w:r>
      <w:r w:rsidR="001641F2">
        <w:t xml:space="preserve"> Also, these packets could be ciphered with different set of security keys</w:t>
      </w:r>
      <w:r w:rsidR="009F4DAB">
        <w:t xml:space="preserve"> </w:t>
      </w:r>
      <w:r w:rsidR="001641F2">
        <w:t>in case of an Inter-CU HO, where the security keys used by source CU would be different from the security keys used by the target CU.</w:t>
      </w:r>
      <w:r w:rsidR="009F4DAB">
        <w:t xml:space="preserve"> The source CU and target CU compress the PDCP SDUs with different ROHC contexts. Thus, the common PDCP</w:t>
      </w:r>
      <w:r w:rsidR="00BE1772">
        <w:t xml:space="preserve"> receiving</w:t>
      </w:r>
      <w:r w:rsidR="009F4DAB">
        <w:t xml:space="preserve"> entity maintains a common PDCP reordering and duplicate discarding entity, two separate DL ROHC contexts and </w:t>
      </w:r>
      <w:r w:rsidR="00BE1772">
        <w:t>two</w:t>
      </w:r>
      <w:r w:rsidR="00BE1772" w:rsidRPr="00793059">
        <w:t xml:space="preserve"> different security key information (source cell keys </w:t>
      </w:r>
      <w:r w:rsidR="00BE1772">
        <w:t>and</w:t>
      </w:r>
      <w:r w:rsidR="00BE1772" w:rsidRPr="00793059">
        <w:t xml:space="preserve"> target cell keys</w:t>
      </w:r>
      <w:r w:rsidR="00BE1772">
        <w:t>).</w:t>
      </w:r>
    </w:p>
    <w:p w14:paraId="721DD274" w14:textId="1C8487C4" w:rsidR="00F643CB" w:rsidRDefault="00BE1772" w:rsidP="00F643CB">
      <w:pPr>
        <w:overflowPunct w:val="0"/>
        <w:autoSpaceDE w:val="0"/>
        <w:autoSpaceDN w:val="0"/>
        <w:adjustRightInd w:val="0"/>
        <w:textAlignment w:val="baseline"/>
      </w:pPr>
      <w:r w:rsidRPr="00BE1772">
        <w:t xml:space="preserve">RAN2 has agreed that the UE does not need to transmit </w:t>
      </w:r>
      <w:r w:rsidR="00922AF5">
        <w:t xml:space="preserve">uplink data to </w:t>
      </w:r>
      <w:r w:rsidRPr="00BE1772">
        <w:t>both source and target and there will be a point in time where the</w:t>
      </w:r>
      <w:r w:rsidR="00922AF5">
        <w:t xml:space="preserve"> UL data </w:t>
      </w:r>
      <w:proofErr w:type="spellStart"/>
      <w:r w:rsidR="00922AF5">
        <w:t>tx</w:t>
      </w:r>
      <w:proofErr w:type="spellEnd"/>
      <w:r w:rsidRPr="00BE1772">
        <w:t xml:space="preserve"> switch from source to target happens</w:t>
      </w:r>
      <w:r>
        <w:t xml:space="preserve">. To switch the </w:t>
      </w:r>
      <w:r w:rsidR="00922AF5">
        <w:t xml:space="preserve">UL </w:t>
      </w:r>
      <w:r>
        <w:t xml:space="preserve">data </w:t>
      </w:r>
      <w:proofErr w:type="spellStart"/>
      <w:r>
        <w:t>tx</w:t>
      </w:r>
      <w:proofErr w:type="spellEnd"/>
      <w:r>
        <w:t xml:space="preserve"> from source to target connection without any reconfiguration interruption, UE stores the configuration and security key information for the target connection on receiving the handover command while maintaining the source connection configuration. Thus, the common PDCP transmitting entity </w:t>
      </w:r>
      <w:proofErr w:type="gramStart"/>
      <w:r>
        <w:t>has to</w:t>
      </w:r>
      <w:proofErr w:type="gramEnd"/>
      <w:r>
        <w:t xml:space="preserve"> maintain </w:t>
      </w:r>
      <w:r w:rsidR="00F643CB">
        <w:t>two</w:t>
      </w:r>
      <w:r w:rsidR="00F643CB" w:rsidRPr="00793059">
        <w:t xml:space="preserve"> different security key information (source cell keys </w:t>
      </w:r>
      <w:r w:rsidR="00F643CB">
        <w:t>and</w:t>
      </w:r>
      <w:r w:rsidR="00F643CB" w:rsidRPr="00793059">
        <w:t xml:space="preserve"> target cell keys</w:t>
      </w:r>
      <w:r w:rsidR="00F643CB">
        <w:t>) as well.</w:t>
      </w:r>
    </w:p>
    <w:p w14:paraId="5C28CA94" w14:textId="0155489C" w:rsidR="00F643CB" w:rsidRDefault="00F643CB" w:rsidP="00F643CB">
      <w:pPr>
        <w:overflowPunct w:val="0"/>
        <w:autoSpaceDE w:val="0"/>
        <w:autoSpaceDN w:val="0"/>
        <w:adjustRightInd w:val="0"/>
        <w:textAlignment w:val="baseline"/>
      </w:pPr>
      <w:r>
        <w:t xml:space="preserve">Maintaining the dual security key information, dual ROHC context for DL, and, dual radio resource configuration during </w:t>
      </w:r>
      <w:r w:rsidR="00C26478">
        <w:t>DAPS HO</w:t>
      </w:r>
      <w:r>
        <w:t xml:space="preserve"> for every UL/DL DRB results in additional memory usage and complexity on the UE. Also, maintaining two separate PHY/MAC/RLC entities results in setup of separate logical channels for source and target connection during </w:t>
      </w:r>
      <w:r w:rsidR="00C26478">
        <w:t>DAPS HO</w:t>
      </w:r>
      <w:r>
        <w:t xml:space="preserve">, and, could result in limiting the number of DRBs with </w:t>
      </w:r>
      <w:r w:rsidR="00C26478">
        <w:t>DAPS HO</w:t>
      </w:r>
      <w:r>
        <w:t xml:space="preserve"> support to not exceed the max. logical channel limit per UE.</w:t>
      </w:r>
    </w:p>
    <w:p w14:paraId="58BDEE93" w14:textId="58CEE895" w:rsidR="00C26478" w:rsidRPr="00B3612A" w:rsidRDefault="00C26478" w:rsidP="00C26478">
      <w:r w:rsidRPr="00B3612A">
        <w:lastRenderedPageBreak/>
        <w:t xml:space="preserve">DAPS HO is </w:t>
      </w:r>
      <w:proofErr w:type="gramStart"/>
      <w:r w:rsidRPr="00B3612A">
        <w:t>actually supported</w:t>
      </w:r>
      <w:proofErr w:type="gramEnd"/>
      <w:r w:rsidRPr="00B3612A">
        <w:t xml:space="preserve"> in DRB granularity anyway, because:</w:t>
      </w:r>
    </w:p>
    <w:p w14:paraId="0842BAB1" w14:textId="704A4576" w:rsidR="00E8624B" w:rsidRPr="00B3612A" w:rsidRDefault="00C26478" w:rsidP="00E8624B">
      <w:pPr>
        <w:pStyle w:val="ListParagraph"/>
        <w:numPr>
          <w:ilvl w:val="0"/>
          <w:numId w:val="25"/>
        </w:numPr>
      </w:pPr>
      <w:r w:rsidRPr="00B3612A">
        <w:t xml:space="preserve">the </w:t>
      </w:r>
      <w:r w:rsidR="00E8624B" w:rsidRPr="00B3612A">
        <w:t xml:space="preserve">PDCP/RLC is per </w:t>
      </w:r>
      <w:proofErr w:type="gramStart"/>
      <w:r w:rsidR="00E8624B" w:rsidRPr="00B3612A">
        <w:t>DRB;</w:t>
      </w:r>
      <w:proofErr w:type="gramEnd"/>
    </w:p>
    <w:p w14:paraId="6C57BE45" w14:textId="6A32F17A" w:rsidR="00E8624B" w:rsidRPr="00B3612A" w:rsidRDefault="00E8624B" w:rsidP="00E8624B">
      <w:pPr>
        <w:pStyle w:val="ListParagraph"/>
        <w:numPr>
          <w:ilvl w:val="0"/>
          <w:numId w:val="25"/>
        </w:numPr>
      </w:pPr>
      <w:r w:rsidRPr="00B3612A">
        <w:t xml:space="preserve">the admission control is per </w:t>
      </w:r>
      <w:proofErr w:type="gramStart"/>
      <w:r w:rsidRPr="00B3612A">
        <w:t>DRB;</w:t>
      </w:r>
      <w:proofErr w:type="gramEnd"/>
    </w:p>
    <w:p w14:paraId="6D83A09B" w14:textId="3D0B167C" w:rsidR="00C26478" w:rsidRPr="00B3612A" w:rsidRDefault="00E8624B" w:rsidP="00E8624B">
      <w:pPr>
        <w:pStyle w:val="ListParagraph"/>
        <w:numPr>
          <w:ilvl w:val="0"/>
          <w:numId w:val="25"/>
        </w:numPr>
      </w:pPr>
      <w:r w:rsidRPr="00B3612A">
        <w:t>the data forwarding is per DRB level typically</w:t>
      </w:r>
      <w:r w:rsidR="00C26478" w:rsidRPr="00B3612A">
        <w:t>.</w:t>
      </w:r>
    </w:p>
    <w:p w14:paraId="425FE6AD" w14:textId="11DEDBCD" w:rsidR="00F643CB" w:rsidRPr="00B3612A" w:rsidRDefault="0065407B" w:rsidP="0065407B">
      <w:r w:rsidRPr="00B3612A">
        <w:t xml:space="preserve">UE can signal in the </w:t>
      </w:r>
      <w:r w:rsidR="00C26478" w:rsidRPr="00B3612A">
        <w:t>DAPS</w:t>
      </w:r>
      <w:r w:rsidR="00C25233" w:rsidRPr="00B3612A">
        <w:t xml:space="preserve"> HO</w:t>
      </w:r>
      <w:r w:rsidRPr="00B3612A">
        <w:t xml:space="preserve"> capability for the max. number of supported MBB bearers or even request which specific bearers to consider for </w:t>
      </w:r>
      <w:r w:rsidR="00C26478" w:rsidRPr="00B3612A">
        <w:t>DAPS HO</w:t>
      </w:r>
      <w:r w:rsidRPr="00B3612A">
        <w:t xml:space="preserve">. Source </w:t>
      </w:r>
      <w:proofErr w:type="spellStart"/>
      <w:r w:rsidRPr="00B3612A">
        <w:t>gNB</w:t>
      </w:r>
      <w:proofErr w:type="spellEnd"/>
      <w:r w:rsidRPr="00B3612A">
        <w:t xml:space="preserve"> and target </w:t>
      </w:r>
      <w:proofErr w:type="spellStart"/>
      <w:r w:rsidRPr="00B3612A">
        <w:t>gNB</w:t>
      </w:r>
      <w:proofErr w:type="spellEnd"/>
      <w:r w:rsidRPr="00B3612A">
        <w:t xml:space="preserve"> </w:t>
      </w:r>
      <w:r w:rsidR="008A0FC2" w:rsidRPr="00B3612A">
        <w:t xml:space="preserve">consider </w:t>
      </w:r>
      <w:r w:rsidRPr="00B3612A">
        <w:t>UE capability and choose</w:t>
      </w:r>
      <w:r w:rsidR="008A0FC2" w:rsidRPr="00B3612A">
        <w:t xml:space="preserve"> which DRBs </w:t>
      </w:r>
      <w:r w:rsidRPr="00B3612A">
        <w:t>are to be configured for</w:t>
      </w:r>
      <w:r w:rsidR="008A0FC2" w:rsidRPr="00B3612A">
        <w:t xml:space="preserve"> </w:t>
      </w:r>
      <w:r w:rsidR="00C26478" w:rsidRPr="00B3612A">
        <w:t>DAPS HO</w:t>
      </w:r>
      <w:r w:rsidR="008A0FC2" w:rsidRPr="00B3612A">
        <w:t xml:space="preserve"> and not all DRBs corresponding to the UE. The remaining DRBs not configured with </w:t>
      </w:r>
      <w:r w:rsidR="00C26478" w:rsidRPr="00B3612A">
        <w:t>DAPS HO</w:t>
      </w:r>
      <w:r w:rsidR="008A0FC2" w:rsidRPr="00B3612A">
        <w:t xml:space="preserve"> will be handled as traditional HO DRBs. </w:t>
      </w:r>
      <w:r w:rsidR="00266817" w:rsidRPr="00B3612A">
        <w:t xml:space="preserve"> In some cases, where all the DRBs for a UE need reduced user data interruption during HO, it is efficient to configure </w:t>
      </w:r>
      <w:r w:rsidR="00C26478" w:rsidRPr="00B3612A">
        <w:t>DAPS HO</w:t>
      </w:r>
      <w:r w:rsidR="00266817" w:rsidRPr="00B3612A">
        <w:t xml:space="preserve"> per UE. Thus, it is beneficial to keep the support for per UE </w:t>
      </w:r>
      <w:r w:rsidR="00C26478" w:rsidRPr="00B3612A">
        <w:t>DAPS HO</w:t>
      </w:r>
      <w:r w:rsidR="00266817" w:rsidRPr="00B3612A">
        <w:t xml:space="preserve"> configuration and use per DRB </w:t>
      </w:r>
      <w:r w:rsidR="00C26478" w:rsidRPr="00B3612A">
        <w:t>DAPS HO</w:t>
      </w:r>
      <w:r w:rsidR="00266817" w:rsidRPr="00B3612A">
        <w:t xml:space="preserve"> optionally as needed.</w:t>
      </w:r>
    </w:p>
    <w:p w14:paraId="7F210E7A" w14:textId="44BE6184" w:rsidR="00B97CEB" w:rsidRDefault="00B97CEB" w:rsidP="00B97CEB">
      <w:pPr>
        <w:spacing w:before="120" w:after="0"/>
        <w:rPr>
          <w:b/>
          <w:bCs/>
        </w:rPr>
      </w:pPr>
      <w:r w:rsidRPr="00B97CEB">
        <w:rPr>
          <w:b/>
          <w:bCs/>
        </w:rPr>
        <w:t xml:space="preserve">Proposal 1: </w:t>
      </w:r>
      <w:r w:rsidR="007C5F4B">
        <w:rPr>
          <w:b/>
          <w:bCs/>
        </w:rPr>
        <w:t xml:space="preserve">Both DRB level and UE level DAPS HO are supported.  </w:t>
      </w:r>
    </w:p>
    <w:p w14:paraId="2E4BBDF8" w14:textId="77777777" w:rsidR="00B97CEB" w:rsidRPr="00B97CEB" w:rsidRDefault="00B97CEB" w:rsidP="00B97CEB">
      <w:pPr>
        <w:spacing w:before="120" w:after="0"/>
        <w:rPr>
          <w:b/>
          <w:bCs/>
        </w:rPr>
      </w:pPr>
    </w:p>
    <w:p w14:paraId="79374664" w14:textId="0C373F46" w:rsidR="002E587A" w:rsidRDefault="00266817" w:rsidP="002E587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r w:rsidR="00C26478">
        <w:rPr>
          <w:rFonts w:ascii="Arial" w:hAnsi="Arial" w:cs="Arial"/>
          <w:color w:val="auto"/>
          <w:sz w:val="28"/>
          <w:szCs w:val="28"/>
        </w:rPr>
        <w:t>DAPS HO</w:t>
      </w:r>
      <w:r>
        <w:rPr>
          <w:rFonts w:ascii="Arial" w:hAnsi="Arial" w:cs="Arial"/>
          <w:color w:val="auto"/>
          <w:sz w:val="28"/>
          <w:szCs w:val="28"/>
        </w:rPr>
        <w:t xml:space="preserve"> configuration</w:t>
      </w:r>
    </w:p>
    <w:p w14:paraId="28274195" w14:textId="58472EBB" w:rsidR="00774D41" w:rsidRDefault="00774D41" w:rsidP="00774D41">
      <w:r>
        <w:t xml:space="preserve">In order to support the per DRB </w:t>
      </w:r>
      <w:r w:rsidR="00C26478">
        <w:t>DAPS HO</w:t>
      </w:r>
      <w:r>
        <w:t xml:space="preserve"> configuration, network includes a flag in each DRB configuration to indicate whether </w:t>
      </w:r>
      <w:r w:rsidR="00C26478">
        <w:t>DAPS HO</w:t>
      </w:r>
      <w:r>
        <w:t xml:space="preserve"> is supported or not. </w:t>
      </w:r>
      <w:proofErr w:type="spellStart"/>
      <w:r w:rsidR="001F2804">
        <w:t>gNB</w:t>
      </w:r>
      <w:proofErr w:type="spellEnd"/>
      <w:r w:rsidR="001F2804">
        <w:t xml:space="preserve"> decides whether to configure </w:t>
      </w:r>
      <w:r w:rsidR="00C26478">
        <w:t>DAPS HO</w:t>
      </w:r>
      <w:r w:rsidR="001F2804">
        <w:t xml:space="preserve"> for a DRB based on:</w:t>
      </w:r>
    </w:p>
    <w:p w14:paraId="272D1F30" w14:textId="1F3DBAF4" w:rsidR="001F2804" w:rsidRDefault="001F2804" w:rsidP="001F2804">
      <w:pPr>
        <w:pStyle w:val="ListParagraph"/>
        <w:numPr>
          <w:ilvl w:val="0"/>
          <w:numId w:val="23"/>
        </w:numPr>
      </w:pPr>
      <w:r>
        <w:t>Service need (e.g. info from QoS profile and potential UE assistance information)</w:t>
      </w:r>
    </w:p>
    <w:p w14:paraId="388F7054" w14:textId="70708924" w:rsidR="001F2804" w:rsidRDefault="001F2804" w:rsidP="001F2804">
      <w:pPr>
        <w:pStyle w:val="ListParagraph"/>
        <w:numPr>
          <w:ilvl w:val="0"/>
          <w:numId w:val="23"/>
        </w:numPr>
      </w:pPr>
      <w:r>
        <w:t>UE capability</w:t>
      </w:r>
    </w:p>
    <w:p w14:paraId="284A1B39" w14:textId="148B2C8A" w:rsidR="00670138" w:rsidRDefault="00670138" w:rsidP="001F2804">
      <w:pPr>
        <w:pStyle w:val="ListParagraph"/>
        <w:numPr>
          <w:ilvl w:val="0"/>
          <w:numId w:val="23"/>
        </w:numPr>
      </w:pPr>
      <w:r>
        <w:t>Low layer resource status</w:t>
      </w:r>
    </w:p>
    <w:p w14:paraId="18472DDB" w14:textId="163D660F" w:rsidR="001F2804" w:rsidRDefault="001F2804" w:rsidP="001F2804">
      <w:pPr>
        <w:pStyle w:val="ListParagraph"/>
        <w:numPr>
          <w:ilvl w:val="0"/>
          <w:numId w:val="23"/>
        </w:numPr>
      </w:pPr>
      <w:r>
        <w:t>PDCP configuration.</w:t>
      </w:r>
    </w:p>
    <w:p w14:paraId="4C81124F" w14:textId="54862005" w:rsidR="001F2804" w:rsidRDefault="00036D77" w:rsidP="001F2804">
      <w:r>
        <w:t>This information</w:t>
      </w:r>
      <w:r w:rsidR="001F2804">
        <w:t xml:space="preserve"> is </w:t>
      </w:r>
      <w:r w:rsidR="00670138">
        <w:t>known</w:t>
      </w:r>
      <w:r w:rsidR="001F2804">
        <w:t xml:space="preserve"> by RRC and </w:t>
      </w:r>
      <w:r>
        <w:t xml:space="preserve">it is better for RRC to configure the per DRB </w:t>
      </w:r>
      <w:proofErr w:type="spellStart"/>
      <w:r>
        <w:t>eMBB</w:t>
      </w:r>
      <w:proofErr w:type="spellEnd"/>
      <w:r>
        <w:t xml:space="preserve"> in RRC container. In </w:t>
      </w:r>
      <w:proofErr w:type="spellStart"/>
      <w:r>
        <w:t>XnAP</w:t>
      </w:r>
      <w:proofErr w:type="spellEnd"/>
      <w:r>
        <w:t xml:space="preserve">/X2AP, the </w:t>
      </w:r>
      <w:r w:rsidR="00C26478">
        <w:t>DAPS HO</w:t>
      </w:r>
      <w:r>
        <w:t xml:space="preserve"> indicator can be supported in UE level. </w:t>
      </w:r>
    </w:p>
    <w:p w14:paraId="1125C2B2" w14:textId="67B501C2" w:rsidR="0079138B" w:rsidRPr="00AB32CC" w:rsidRDefault="0079138B" w:rsidP="0079138B">
      <w:pPr>
        <w:spacing w:before="120" w:after="0"/>
        <w:rPr>
          <w:b/>
        </w:rPr>
      </w:pPr>
      <w:r w:rsidRPr="00AB32CC">
        <w:rPr>
          <w:b/>
        </w:rPr>
        <w:t xml:space="preserve">Proposal 2: Support UE level </w:t>
      </w:r>
      <w:r w:rsidR="00C26478">
        <w:rPr>
          <w:b/>
        </w:rPr>
        <w:t>DAPS HO</w:t>
      </w:r>
      <w:r w:rsidRPr="00AB32CC">
        <w:rPr>
          <w:b/>
        </w:rPr>
        <w:t xml:space="preserve"> indicator in </w:t>
      </w:r>
      <w:proofErr w:type="spellStart"/>
      <w:r w:rsidRPr="00AB32CC">
        <w:rPr>
          <w:b/>
        </w:rPr>
        <w:t>XnAP</w:t>
      </w:r>
      <w:proofErr w:type="spellEnd"/>
      <w:r w:rsidRPr="00AB32CC">
        <w:rPr>
          <w:b/>
        </w:rPr>
        <w:t>/</w:t>
      </w:r>
      <w:r w:rsidR="00036D77">
        <w:rPr>
          <w:b/>
        </w:rPr>
        <w:t>X2</w:t>
      </w:r>
      <w:r w:rsidRPr="00AB32CC">
        <w:rPr>
          <w:b/>
        </w:rPr>
        <w:t xml:space="preserve">AP and DRB level </w:t>
      </w:r>
      <w:r w:rsidR="00C26478">
        <w:rPr>
          <w:b/>
        </w:rPr>
        <w:t>DAPS HO</w:t>
      </w:r>
      <w:r w:rsidRPr="00AB32CC">
        <w:rPr>
          <w:b/>
        </w:rPr>
        <w:t xml:space="preserve"> indicator in RRC container. </w:t>
      </w:r>
    </w:p>
    <w:p w14:paraId="7DA7E7E3" w14:textId="77777777" w:rsidR="002E587A" w:rsidRDefault="002E587A" w:rsidP="002E587A">
      <w:pPr>
        <w:pStyle w:val="Heading1"/>
      </w:pPr>
      <w:r>
        <w:t>3. Conclusion</w:t>
      </w:r>
    </w:p>
    <w:p w14:paraId="2D77F510" w14:textId="77777777" w:rsidR="002E587A" w:rsidRDefault="002E587A" w:rsidP="002E587A">
      <w:pPr>
        <w:spacing w:before="120" w:after="0"/>
      </w:pPr>
      <w:bookmarkStart w:id="0" w:name="_Hlk512894710"/>
      <w:r>
        <w:t>Based on the above discussions, we recommend RAN2 discusses the following observations and proposals:</w:t>
      </w:r>
      <w:bookmarkEnd w:id="0"/>
    </w:p>
    <w:p w14:paraId="6DCDA6D7" w14:textId="05866ABD" w:rsidR="007C5F4B" w:rsidRDefault="007C5F4B" w:rsidP="002E587A">
      <w:pPr>
        <w:spacing w:before="120" w:after="0"/>
        <w:rPr>
          <w:b/>
        </w:rPr>
      </w:pPr>
      <w:bookmarkStart w:id="1" w:name="_Hlk20551691"/>
      <w:r w:rsidRPr="00B97CEB">
        <w:rPr>
          <w:b/>
          <w:bCs/>
        </w:rPr>
        <w:t xml:space="preserve">Proposal 1: </w:t>
      </w:r>
      <w:r>
        <w:rPr>
          <w:b/>
          <w:bCs/>
        </w:rPr>
        <w:t>Both DRB level and UE level DAPS HO are supported</w:t>
      </w:r>
      <w:r>
        <w:rPr>
          <w:b/>
          <w:bCs/>
        </w:rPr>
        <w:t>.</w:t>
      </w:r>
      <w:r w:rsidRPr="00AB32CC">
        <w:rPr>
          <w:b/>
        </w:rPr>
        <w:t xml:space="preserve"> </w:t>
      </w:r>
      <w:bookmarkStart w:id="2" w:name="_GoBack"/>
      <w:bookmarkEnd w:id="2"/>
    </w:p>
    <w:p w14:paraId="6155FD8F" w14:textId="10F04D2E" w:rsidR="00AB32CC" w:rsidRDefault="00AB32CC" w:rsidP="002E587A">
      <w:pPr>
        <w:spacing w:before="120" w:after="0"/>
        <w:rPr>
          <w:b/>
        </w:rPr>
      </w:pPr>
      <w:r w:rsidRPr="00AB32CC">
        <w:rPr>
          <w:b/>
        </w:rPr>
        <w:t xml:space="preserve">Proposal 2: Support UE level </w:t>
      </w:r>
      <w:r w:rsidR="00C26478">
        <w:rPr>
          <w:b/>
        </w:rPr>
        <w:t>DAPS HO</w:t>
      </w:r>
      <w:r w:rsidRPr="00AB32CC">
        <w:rPr>
          <w:b/>
        </w:rPr>
        <w:t xml:space="preserve"> indicator in </w:t>
      </w:r>
      <w:proofErr w:type="spellStart"/>
      <w:r w:rsidRPr="00AB32CC">
        <w:rPr>
          <w:b/>
        </w:rPr>
        <w:t>XnAP</w:t>
      </w:r>
      <w:proofErr w:type="spellEnd"/>
      <w:r w:rsidRPr="00AB32CC">
        <w:rPr>
          <w:b/>
        </w:rPr>
        <w:t>/</w:t>
      </w:r>
      <w:r w:rsidR="00036D77">
        <w:rPr>
          <w:b/>
        </w:rPr>
        <w:t>X2</w:t>
      </w:r>
      <w:r w:rsidRPr="00AB32CC">
        <w:rPr>
          <w:b/>
        </w:rPr>
        <w:t xml:space="preserve">AP and DRB level </w:t>
      </w:r>
      <w:r w:rsidR="00C26478">
        <w:rPr>
          <w:b/>
        </w:rPr>
        <w:t>DAPS HO</w:t>
      </w:r>
      <w:r w:rsidRPr="00AB32CC">
        <w:rPr>
          <w:b/>
        </w:rPr>
        <w:t xml:space="preserve"> indicator in RRC container. </w:t>
      </w:r>
    </w:p>
    <w:bookmarkEnd w:id="1"/>
    <w:p w14:paraId="47A63CC4" w14:textId="77777777" w:rsidR="002E587A" w:rsidRDefault="002E587A" w:rsidP="002E587A">
      <w:pPr>
        <w:pStyle w:val="Heading1"/>
      </w:pPr>
      <w:r>
        <w:t>4. References</w:t>
      </w:r>
    </w:p>
    <w:p w14:paraId="4F760B69" w14:textId="1F1FAC59" w:rsidR="002E587A" w:rsidRDefault="002E587A" w:rsidP="002E587A">
      <w:pPr>
        <w:ind w:left="1350" w:hanging="1350"/>
        <w:rPr>
          <w:rFonts w:ascii="Arial" w:hAnsi="Arial" w:cs="Arial"/>
          <w:bCs/>
        </w:rPr>
      </w:pPr>
      <w:r w:rsidRPr="00944C55">
        <w:rPr>
          <w:rFonts w:ascii="Arial" w:hAnsi="Arial" w:cs="Arial"/>
          <w:bCs/>
        </w:rPr>
        <w:t xml:space="preserve">[1] </w:t>
      </w:r>
      <w:r w:rsidRPr="00EE7870">
        <w:rPr>
          <w:rFonts w:ascii="Arial" w:hAnsi="Arial" w:cs="Arial"/>
          <w:bCs/>
        </w:rPr>
        <w:t>RP-192277</w:t>
      </w:r>
      <w:r>
        <w:rPr>
          <w:rFonts w:ascii="Arial" w:hAnsi="Arial" w:cs="Arial"/>
          <w:bCs/>
        </w:rPr>
        <w:t xml:space="preserve"> </w:t>
      </w:r>
      <w:r w:rsidRPr="00EE7870">
        <w:rPr>
          <w:rFonts w:ascii="Arial" w:hAnsi="Arial" w:cs="Arial"/>
          <w:bCs/>
        </w:rPr>
        <w:t>New WID: NR mobility enhancements</w:t>
      </w:r>
    </w:p>
    <w:p w14:paraId="1D239279" w14:textId="7483AB09" w:rsidR="006F300C" w:rsidRDefault="006F300C" w:rsidP="006F300C">
      <w:pPr>
        <w:ind w:left="288" w:hanging="288"/>
        <w:rPr>
          <w:rFonts w:ascii="Arial" w:hAnsi="Arial" w:cs="Arial"/>
          <w:bCs/>
        </w:rPr>
      </w:pPr>
      <w:r>
        <w:rPr>
          <w:rFonts w:ascii="Arial" w:hAnsi="Arial" w:cs="Arial"/>
          <w:bCs/>
        </w:rPr>
        <w:t xml:space="preserve">[2] </w:t>
      </w:r>
      <w:r w:rsidRPr="007F51D9">
        <w:rPr>
          <w:rFonts w:ascii="Arial" w:hAnsi="Arial" w:cs="Arial"/>
          <w:bCs/>
        </w:rPr>
        <w:t xml:space="preserve">R2-1908912 </w:t>
      </w:r>
      <w:r w:rsidRPr="00347DBF">
        <w:rPr>
          <w:rFonts w:ascii="Arial" w:hAnsi="Arial" w:cs="Arial"/>
          <w:bCs/>
        </w:rPr>
        <w:t>User Plane changes to minimize the mobility interruption during Make-Before-Break</w:t>
      </w:r>
      <w:r>
        <w:rPr>
          <w:rFonts w:ascii="Arial" w:hAnsi="Arial" w:cs="Arial"/>
          <w:bCs/>
        </w:rPr>
        <w:t xml:space="preserve"> </w:t>
      </w:r>
      <w:r w:rsidRPr="00347DBF">
        <w:rPr>
          <w:rFonts w:ascii="Arial" w:hAnsi="Arial" w:cs="Arial"/>
          <w:bCs/>
        </w:rPr>
        <w:t>(</w:t>
      </w:r>
      <w:r w:rsidR="0065407B">
        <w:rPr>
          <w:rFonts w:ascii="Arial" w:hAnsi="Arial" w:cs="Arial"/>
          <w:bCs/>
        </w:rPr>
        <w:t>DAPS</w:t>
      </w:r>
      <w:r w:rsidRPr="00347DBF">
        <w:rPr>
          <w:rFonts w:ascii="Arial" w:hAnsi="Arial" w:cs="Arial"/>
          <w:bCs/>
        </w:rPr>
        <w:t>) HO</w:t>
      </w:r>
    </w:p>
    <w:p w14:paraId="6ADFD4E0" w14:textId="4FF7B308" w:rsidR="0042223A" w:rsidRDefault="0042223A" w:rsidP="006F300C">
      <w:pPr>
        <w:ind w:left="288" w:hanging="288"/>
        <w:rPr>
          <w:rFonts w:ascii="Arial" w:hAnsi="Arial" w:cs="Arial"/>
          <w:bCs/>
        </w:rPr>
      </w:pPr>
      <w:r>
        <w:rPr>
          <w:rFonts w:ascii="Arial" w:hAnsi="Arial" w:cs="Arial"/>
          <w:bCs/>
        </w:rPr>
        <w:t xml:space="preserve">[3] </w:t>
      </w:r>
      <w:r w:rsidRPr="0042223A">
        <w:rPr>
          <w:rFonts w:ascii="Arial" w:hAnsi="Arial" w:cs="Arial"/>
          <w:bCs/>
        </w:rPr>
        <w:t>R2-1908935</w:t>
      </w:r>
      <w:r>
        <w:rPr>
          <w:rFonts w:ascii="Arial" w:hAnsi="Arial" w:cs="Arial"/>
          <w:bCs/>
        </w:rPr>
        <w:t xml:space="preserve"> </w:t>
      </w:r>
      <w:r w:rsidRPr="0042223A">
        <w:rPr>
          <w:rFonts w:ascii="Arial" w:hAnsi="Arial" w:cs="Arial"/>
          <w:bCs/>
        </w:rPr>
        <w:t xml:space="preserve">RLM and RLF handling during </w:t>
      </w:r>
      <w:r w:rsidR="00C26478">
        <w:rPr>
          <w:rFonts w:ascii="Arial" w:hAnsi="Arial" w:cs="Arial"/>
          <w:bCs/>
        </w:rPr>
        <w:t>DAPS HO</w:t>
      </w:r>
    </w:p>
    <w:sectPr w:rsidR="0042223A" w:rsidSect="00980BD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27DE4" w14:textId="77777777" w:rsidR="00DA18B3" w:rsidRDefault="00DA18B3" w:rsidP="00266817">
      <w:pPr>
        <w:spacing w:after="0"/>
      </w:pPr>
      <w:r>
        <w:separator/>
      </w:r>
    </w:p>
  </w:endnote>
  <w:endnote w:type="continuationSeparator" w:id="0">
    <w:p w14:paraId="174CC981" w14:textId="77777777" w:rsidR="00DA18B3" w:rsidRDefault="00DA18B3" w:rsidP="00266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D7B0B" w14:textId="77777777" w:rsidR="00980BD0" w:rsidRDefault="00FC3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BF57" w14:textId="77777777" w:rsidR="00DA18B3" w:rsidRDefault="00DA18B3" w:rsidP="00266817">
      <w:pPr>
        <w:spacing w:after="0"/>
      </w:pPr>
      <w:r>
        <w:separator/>
      </w:r>
    </w:p>
  </w:footnote>
  <w:footnote w:type="continuationSeparator" w:id="0">
    <w:p w14:paraId="6498C818" w14:textId="77777777" w:rsidR="00DA18B3" w:rsidRDefault="00DA18B3" w:rsidP="002668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F7C88"/>
    <w:multiLevelType w:val="hybridMultilevel"/>
    <w:tmpl w:val="72301984"/>
    <w:lvl w:ilvl="0" w:tplc="3B3E29C2">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E65F7C"/>
    <w:multiLevelType w:val="hybridMultilevel"/>
    <w:tmpl w:val="75888266"/>
    <w:lvl w:ilvl="0" w:tplc="FC7242A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661"/>
    <w:multiLevelType w:val="hybridMultilevel"/>
    <w:tmpl w:val="3154E5F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0147D4"/>
    <w:multiLevelType w:val="hybridMultilevel"/>
    <w:tmpl w:val="2E32961A"/>
    <w:lvl w:ilvl="0" w:tplc="5D305C2A">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5"/>
  </w:num>
  <w:num w:numId="4">
    <w:abstractNumId w:val="25"/>
  </w:num>
  <w:num w:numId="5">
    <w:abstractNumId w:val="0"/>
  </w:num>
  <w:num w:numId="6">
    <w:abstractNumId w:val="8"/>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9"/>
  </w:num>
  <w:num w:numId="11">
    <w:abstractNumId w:val="12"/>
  </w:num>
  <w:num w:numId="12">
    <w:abstractNumId w:val="16"/>
  </w:num>
  <w:num w:numId="13">
    <w:abstractNumId w:val="13"/>
  </w:num>
  <w:num w:numId="14">
    <w:abstractNumId w:val="22"/>
  </w:num>
  <w:num w:numId="15">
    <w:abstractNumId w:val="1"/>
  </w:num>
  <w:num w:numId="16">
    <w:abstractNumId w:val="15"/>
  </w:num>
  <w:num w:numId="17">
    <w:abstractNumId w:val="24"/>
  </w:num>
  <w:num w:numId="18">
    <w:abstractNumId w:val="11"/>
  </w:num>
  <w:num w:numId="19">
    <w:abstractNumId w:val="4"/>
  </w:num>
  <w:num w:numId="20">
    <w:abstractNumId w:val="19"/>
  </w:num>
  <w:num w:numId="21">
    <w:abstractNumId w:val="2"/>
  </w:num>
  <w:num w:numId="22">
    <w:abstractNumId w:val="10"/>
  </w:num>
  <w:num w:numId="23">
    <w:abstractNumId w:val="7"/>
  </w:num>
  <w:num w:numId="24">
    <w:abstractNumId w:val="23"/>
  </w:num>
  <w:num w:numId="25">
    <w:abstractNumId w:val="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7A"/>
    <w:rsid w:val="00036D77"/>
    <w:rsid w:val="00070EC3"/>
    <w:rsid w:val="000A3831"/>
    <w:rsid w:val="001164B7"/>
    <w:rsid w:val="001641F2"/>
    <w:rsid w:val="001B6BFC"/>
    <w:rsid w:val="001F2804"/>
    <w:rsid w:val="00266817"/>
    <w:rsid w:val="002E587A"/>
    <w:rsid w:val="003C798E"/>
    <w:rsid w:val="00412E17"/>
    <w:rsid w:val="0042223A"/>
    <w:rsid w:val="004A03B4"/>
    <w:rsid w:val="004D5018"/>
    <w:rsid w:val="00515154"/>
    <w:rsid w:val="00585084"/>
    <w:rsid w:val="005D0BA1"/>
    <w:rsid w:val="006036F6"/>
    <w:rsid w:val="006308C1"/>
    <w:rsid w:val="0065407B"/>
    <w:rsid w:val="00670138"/>
    <w:rsid w:val="006E300E"/>
    <w:rsid w:val="006F300C"/>
    <w:rsid w:val="006F61F3"/>
    <w:rsid w:val="00774D41"/>
    <w:rsid w:val="0079138B"/>
    <w:rsid w:val="007C5536"/>
    <w:rsid w:val="007C5F4B"/>
    <w:rsid w:val="00837F8F"/>
    <w:rsid w:val="008A0FC2"/>
    <w:rsid w:val="008E25B7"/>
    <w:rsid w:val="00917A65"/>
    <w:rsid w:val="00922AF5"/>
    <w:rsid w:val="00981884"/>
    <w:rsid w:val="009F4DAB"/>
    <w:rsid w:val="00A77B73"/>
    <w:rsid w:val="00AB32CC"/>
    <w:rsid w:val="00AD6DEF"/>
    <w:rsid w:val="00B3612A"/>
    <w:rsid w:val="00B43707"/>
    <w:rsid w:val="00B67EC9"/>
    <w:rsid w:val="00B754DF"/>
    <w:rsid w:val="00B97CEB"/>
    <w:rsid w:val="00BE1772"/>
    <w:rsid w:val="00C25233"/>
    <w:rsid w:val="00C26478"/>
    <w:rsid w:val="00DA18B3"/>
    <w:rsid w:val="00E75BAC"/>
    <w:rsid w:val="00E8624B"/>
    <w:rsid w:val="00EA1340"/>
    <w:rsid w:val="00F34A58"/>
    <w:rsid w:val="00F643CB"/>
    <w:rsid w:val="00FC3C92"/>
    <w:rsid w:val="00FD3711"/>
    <w:rsid w:val="00FE47F8"/>
    <w:rsid w:val="00FF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E7280"/>
  <w15:chartTrackingRefBased/>
  <w15:docId w15:val="{87DEDDC3-7123-466E-8644-78A469F0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8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2E58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2E5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74D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87A"/>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2E587A"/>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2E58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2E587A"/>
    <w:rPr>
      <w:rFonts w:ascii="Arial" w:eastAsia="Malgun Gothic" w:hAnsi="Arial" w:cs="Times New Roman"/>
      <w:b/>
      <w:i/>
      <w:noProof/>
      <w:sz w:val="18"/>
      <w:szCs w:val="20"/>
      <w:lang w:val="en-GB"/>
    </w:rPr>
  </w:style>
  <w:style w:type="paragraph" w:customStyle="1" w:styleId="CRCoverPage">
    <w:name w:val="CR Cover Page"/>
    <w:link w:val="CRCoverPageZchn"/>
    <w:rsid w:val="002E58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E587A"/>
    <w:rPr>
      <w:rFonts w:ascii="Arial" w:eastAsia="MS Mincho" w:hAnsi="Arial" w:cs="Times New Roman"/>
      <w:sz w:val="20"/>
      <w:szCs w:val="20"/>
      <w:lang w:val="en-GB"/>
    </w:rPr>
  </w:style>
  <w:style w:type="paragraph" w:styleId="Caption">
    <w:name w:val="caption"/>
    <w:basedOn w:val="Normal"/>
    <w:next w:val="Normal"/>
    <w:uiPriority w:val="35"/>
    <w:unhideWhenUsed/>
    <w:qFormat/>
    <w:rsid w:val="002E587A"/>
    <w:pPr>
      <w:spacing w:after="200"/>
    </w:pPr>
    <w:rPr>
      <w:i/>
      <w:iCs/>
      <w:color w:val="44546A" w:themeColor="text2"/>
      <w:sz w:val="18"/>
      <w:szCs w:val="18"/>
    </w:rPr>
  </w:style>
  <w:style w:type="paragraph" w:customStyle="1" w:styleId="Doc-text2">
    <w:name w:val="Doc-text2"/>
    <w:basedOn w:val="Normal"/>
    <w:link w:val="Doc-text2Char"/>
    <w:qFormat/>
    <w:rsid w:val="002E587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2E587A"/>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2E58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87A"/>
    <w:rPr>
      <w:rFonts w:ascii="Segoe UI" w:eastAsia="Malgun Gothic" w:hAnsi="Segoe UI" w:cs="Segoe UI"/>
      <w:sz w:val="18"/>
      <w:szCs w:val="18"/>
      <w:lang w:val="en-GB"/>
    </w:rPr>
  </w:style>
  <w:style w:type="paragraph" w:customStyle="1" w:styleId="B1">
    <w:name w:val="B1"/>
    <w:basedOn w:val="List"/>
    <w:rsid w:val="002E587A"/>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2E587A"/>
    <w:pPr>
      <w:ind w:left="360" w:hanging="360"/>
      <w:contextualSpacing/>
    </w:pPr>
  </w:style>
  <w:style w:type="paragraph" w:styleId="ListParagraph">
    <w:name w:val="List Paragraph"/>
    <w:basedOn w:val="Normal"/>
    <w:uiPriority w:val="34"/>
    <w:qFormat/>
    <w:rsid w:val="002E587A"/>
    <w:pPr>
      <w:ind w:left="720"/>
      <w:contextualSpacing/>
    </w:pPr>
  </w:style>
  <w:style w:type="character" w:customStyle="1" w:styleId="Heading4Char">
    <w:name w:val="Heading 4 Char"/>
    <w:basedOn w:val="DefaultParagraphFont"/>
    <w:link w:val="Heading4"/>
    <w:uiPriority w:val="9"/>
    <w:semiHidden/>
    <w:rsid w:val="00774D41"/>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774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4D4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774D41"/>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774D41"/>
    <w:rPr>
      <w:rFonts w:ascii="Arial" w:eastAsia="Times New Roman" w:hAnsi="Arial" w:cs="Times New Roman"/>
      <w:b/>
      <w:sz w:val="20"/>
      <w:szCs w:val="20"/>
      <w:lang w:val="x-none" w:eastAsia="x-none"/>
    </w:rPr>
  </w:style>
  <w:style w:type="paragraph" w:styleId="Header">
    <w:name w:val="header"/>
    <w:basedOn w:val="Normal"/>
    <w:link w:val="HeaderChar"/>
    <w:uiPriority w:val="99"/>
    <w:unhideWhenUsed/>
    <w:rsid w:val="00A77B73"/>
    <w:pPr>
      <w:tabs>
        <w:tab w:val="center" w:pos="4680"/>
        <w:tab w:val="right" w:pos="9360"/>
      </w:tabs>
      <w:spacing w:after="0"/>
    </w:pPr>
  </w:style>
  <w:style w:type="character" w:customStyle="1" w:styleId="HeaderChar">
    <w:name w:val="Header Char"/>
    <w:basedOn w:val="DefaultParagraphFont"/>
    <w:link w:val="Header"/>
    <w:uiPriority w:val="99"/>
    <w:rsid w:val="00A77B73"/>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0D226-B7AA-4C6D-B7CF-D6C9DE90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14</cp:revision>
  <dcterms:created xsi:type="dcterms:W3CDTF">2019-10-03T21:58:00Z</dcterms:created>
  <dcterms:modified xsi:type="dcterms:W3CDTF">2020-02-15T06:01:00Z</dcterms:modified>
</cp:coreProperties>
</file>